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4C" w:rsidRDefault="00145F4C" w:rsidP="00145F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Передача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м’яча двома руками знизу</w:t>
      </w:r>
    </w:p>
    <w:p w:rsidR="00145F4C" w:rsidRPr="00145F4C" w:rsidRDefault="00145F4C" w:rsidP="00145F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3C57E6" w:rsidRPr="003C57E6" w:rsidRDefault="003C57E6" w:rsidP="003C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57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Передача м’яча</w:t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найважливіша і найскладніша ігрова дія у волейболі.</w:t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 допомогою передачі м’яча здійснюється організація нападу. І прикінцева</w:t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дія атаки – нападаючий удар – багато в чому залежить від якості передачі. За</w:t>
      </w:r>
    </w:p>
    <w:p w:rsidR="00145F4C" w:rsidRDefault="003C57E6" w:rsidP="003C57E6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допомогою передачі м’яча команда переходить від захисту до нападу. Ось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чому цей ігровий прийом є найважливішим в арсеналі дій волейболіста.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Даний прийом є основним при організації нападаючих дій. З нього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 xml:space="preserve">починається оволодіння діями з </w:t>
      </w:r>
      <w:proofErr w:type="spellStart"/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м'ячем</w:t>
      </w:r>
      <w:proofErr w:type="spellEnd"/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. Протягом всього періоду навчання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 xml:space="preserve">цей прийом знаходиться в центрі уваги, а для </w:t>
      </w:r>
      <w:proofErr w:type="spellStart"/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зв'язуючих</w:t>
      </w:r>
      <w:proofErr w:type="spellEnd"/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 xml:space="preserve"> гравців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вдосконалення навиків верхньої передачі складає основу всіх тренувальних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занять.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При передачі важливі, по-перше, тонкий розрахунок рухів, відповідно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до напряму і швидкості польоту м'яча для своєчасного ухвалення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початкового положення, по-друге, правильна дія руками на м'яч. Це і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потрібно враховувати в процесі навчання даному технічному прийому.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Велика різноманітність способів передачі м’яча в грі за різних умов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зумовлює складність їх вивчення.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Передачу м’яча доводиться виконувати двома і однією рукою, верхнім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і нижнім способом, при переміщеннях кроком, бігом, кидком, стрибком, при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прийомі м’яча, що летить з різною швидкістю у різному напрямку, - при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всьому цьому передача повинна виконуватися дуже чітко без жодних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затримок, проводки, подвійних ударів з певним тактичним призначенням і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так, щоб були враховані також індивідуальні особливості партнерів, яким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 xml:space="preserve">адресується передача. </w:t>
      </w:r>
    </w:p>
    <w:p w:rsidR="00100C72" w:rsidRDefault="003C57E6" w:rsidP="003C57E6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Дуже важливо,</w:t>
      </w:r>
      <w:r w:rsidRPr="003C57E6">
        <w:rPr>
          <w:rFonts w:ascii="Times New Roman" w:hAnsi="Times New Roman" w:cs="Times New Roman"/>
          <w:sz w:val="28"/>
          <w:szCs w:val="28"/>
        </w:rPr>
        <w:t xml:space="preserve"> </w:t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щоб учень навчився приймати правильну стартову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позицію на випадок негайного переміщення до м’яча. Якщо в розпорядженні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гравця досить часу для переміщення або йому вже відомо, куди треба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переміститись, тоді стопи ніг можна розташувати фронтально. При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переміщенні в передніх або задніх напрямах і при обмеженому часі гравець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займає діагональну стартову позицію, при якій одна нога виставлена дещо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вперед. У стартовому положенні у гравця ноги повинні бути напівзігнуті,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тулуб – ледь нахилений уперед, руки – зігнуті в ліктях, кисті – перед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Style w:val="markedcontent"/>
          <w:rFonts w:ascii="Times New Roman" w:hAnsi="Times New Roman" w:cs="Times New Roman"/>
          <w:sz w:val="28"/>
          <w:szCs w:val="28"/>
        </w:rPr>
        <w:t>грудьми.</w:t>
      </w:r>
      <w:r w:rsidRPr="003C57E6">
        <w:rPr>
          <w:rFonts w:ascii="Times New Roman" w:hAnsi="Times New Roman" w:cs="Times New Roman"/>
          <w:sz w:val="28"/>
          <w:szCs w:val="28"/>
        </w:rPr>
        <w:br/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 підкреслити і значення узгодженості в послідовних рухах</w:t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ніг, тулуба і рук. Вони повинні бути злитими, безперервними. Амплітуда і</w:t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швидкість розгинання їх повинні відповідати довжині передачі.</w:t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Чітке торкання пальцями м’яча зак</w:t>
      </w:r>
      <w:r w:rsidR="00145F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інчується супроводжуючим плавним </w:t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рухом </w:t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рук за </w:t>
      </w:r>
      <w:proofErr w:type="spellStart"/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t>м’ячем</w:t>
      </w:r>
      <w:proofErr w:type="spellEnd"/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відлетів.</w:t>
      </w:r>
      <w:r w:rsidRPr="003C57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noProof/>
          <w:lang w:eastAsia="uk-UA"/>
        </w:rPr>
        <w:drawing>
          <wp:inline distT="0" distB="0" distL="0" distR="0" wp14:anchorId="328CCD0F" wp14:editId="448BEE6B">
            <wp:extent cx="3960812" cy="3810000"/>
            <wp:effectExtent l="0" t="0" r="1905" b="0"/>
            <wp:docPr id="12292" name="Picture 11" descr="Приём передача мяча в волейболе: техника верхней и нижней пере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11" descr="Приём передача мяча в волейболе: техника верхней и нижней передач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7" r="1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812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45F4C" w:rsidRDefault="00145F4C" w:rsidP="003C57E6">
      <w:pPr>
        <w:jc w:val="both"/>
        <w:rPr>
          <w:rFonts w:ascii="Times New Roman" w:hAnsi="Times New Roman" w:cs="Times New Roman"/>
          <w:sz w:val="28"/>
          <w:szCs w:val="28"/>
        </w:rPr>
      </w:pPr>
      <w:r w:rsidRPr="00145F4C">
        <w:rPr>
          <w:rFonts w:ascii="Times New Roman" w:hAnsi="Times New Roman" w:cs="Times New Roman"/>
          <w:sz w:val="28"/>
          <w:szCs w:val="28"/>
        </w:rPr>
        <w:t>Техніка виконання прийому м'яча знизу двома руками</w:t>
      </w:r>
    </w:p>
    <w:p w:rsidR="00145F4C" w:rsidRPr="003C57E6" w:rsidRDefault="00145F4C" w:rsidP="003C57E6">
      <w:pPr>
        <w:jc w:val="both"/>
        <w:rPr>
          <w:rFonts w:ascii="Times New Roman" w:hAnsi="Times New Roman" w:cs="Times New Roman"/>
          <w:sz w:val="28"/>
          <w:szCs w:val="28"/>
        </w:rPr>
      </w:pPr>
      <w:r w:rsidRPr="00145F4C">
        <w:rPr>
          <w:rFonts w:ascii="Times New Roman" w:hAnsi="Times New Roman" w:cs="Times New Roman"/>
          <w:sz w:val="28"/>
          <w:szCs w:val="28"/>
        </w:rPr>
        <w:t xml:space="preserve">Тулуб злегка нахилений вперед, прямі руки опущені вперед - вниз, лікті зближені, кисті разом. М'яч приймається на внутрішню частину зближених </w:t>
      </w:r>
      <w:proofErr w:type="spellStart"/>
      <w:r w:rsidRPr="00145F4C">
        <w:rPr>
          <w:rFonts w:ascii="Times New Roman" w:hAnsi="Times New Roman" w:cs="Times New Roman"/>
          <w:sz w:val="28"/>
          <w:szCs w:val="28"/>
        </w:rPr>
        <w:t>передпліч</w:t>
      </w:r>
      <w:proofErr w:type="spellEnd"/>
      <w:r w:rsidRPr="00145F4C">
        <w:rPr>
          <w:rFonts w:ascii="Times New Roman" w:hAnsi="Times New Roman" w:cs="Times New Roman"/>
          <w:sz w:val="28"/>
          <w:szCs w:val="28"/>
        </w:rPr>
        <w:t>, ближче до кистей рук. У момент прийому руки не повинні згинатися в ліктях. Прямі руки нешвидким рухом в плечових суглобах піднімаються назустріч м'ячу, ноги в момент прийому випрямляються. Чим вище швидкість польоту м'яча, тим менше повинно бути зустрічних рухів рук.</w:t>
      </w:r>
    </w:p>
    <w:sectPr w:rsidR="00145F4C" w:rsidRPr="003C57E6" w:rsidSect="00145F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9F"/>
    <w:rsid w:val="000E6D9F"/>
    <w:rsid w:val="00145F4C"/>
    <w:rsid w:val="003C57E6"/>
    <w:rsid w:val="00952F92"/>
    <w:rsid w:val="00AC0B01"/>
    <w:rsid w:val="00BE3C76"/>
    <w:rsid w:val="00E15C9D"/>
    <w:rsid w:val="00F2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5649"/>
  <w15:chartTrackingRefBased/>
  <w15:docId w15:val="{1E83224D-50AF-406A-9E6A-6A51B5AB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C57E6"/>
    <w:rPr>
      <w:color w:val="0000FF"/>
      <w:u w:val="single"/>
    </w:rPr>
  </w:style>
  <w:style w:type="character" w:customStyle="1" w:styleId="markedcontent">
    <w:name w:val="markedcontent"/>
    <w:basedOn w:val="a0"/>
    <w:rsid w:val="003C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1795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2022-02-02T08:32:00Z</dcterms:created>
  <dcterms:modified xsi:type="dcterms:W3CDTF">2022-02-02T08:43:00Z</dcterms:modified>
</cp:coreProperties>
</file>